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A2F" w:rsidRDefault="00965041">
      <w:pPr>
        <w:spacing w:line="480" w:lineRule="exact"/>
        <w:rPr>
          <w:rFonts w:ascii="黑体" w:eastAsia="黑体" w:hAnsi="黑体"/>
          <w:sz w:val="32"/>
          <w:szCs w:val="32"/>
        </w:rPr>
      </w:pPr>
      <w:r>
        <w:rPr>
          <w:rFonts w:ascii="黑体" w:eastAsia="黑体" w:hAnsi="黑体" w:hint="eastAsia"/>
          <w:sz w:val="32"/>
          <w:szCs w:val="32"/>
        </w:rPr>
        <w:t xml:space="preserve">       </w:t>
      </w:r>
    </w:p>
    <w:p w:rsidR="00DA4A2F" w:rsidRDefault="00965041">
      <w:pPr>
        <w:spacing w:line="480" w:lineRule="exact"/>
        <w:rPr>
          <w:rFonts w:ascii="方正小标宋简体" w:eastAsia="方正小标宋简体"/>
          <w:sz w:val="36"/>
          <w:szCs w:val="36"/>
        </w:rPr>
      </w:pPr>
      <w:r>
        <w:rPr>
          <w:rFonts w:ascii="方正小标宋简体" w:eastAsia="方正小标宋简体" w:hint="eastAsia"/>
          <w:sz w:val="36"/>
          <w:szCs w:val="36"/>
        </w:rPr>
        <w:t xml:space="preserve">                </w:t>
      </w:r>
      <w:r>
        <w:rPr>
          <w:rFonts w:ascii="方正小标宋简体" w:eastAsia="方正小标宋简体" w:hAnsi="黑体" w:hint="eastAsia"/>
          <w:sz w:val="36"/>
          <w:szCs w:val="36"/>
        </w:rPr>
        <w:t>项目支出绩效自评表</w:t>
      </w:r>
    </w:p>
    <w:p w:rsidR="00DA4A2F" w:rsidRDefault="00965041">
      <w:pPr>
        <w:spacing w:line="48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w:t>
      </w:r>
      <w:r>
        <w:rPr>
          <w:rFonts w:ascii="仿宋_GB2312" w:eastAsia="仿宋_GB2312" w:hAnsi="宋体" w:hint="eastAsia"/>
          <w:sz w:val="28"/>
          <w:szCs w:val="28"/>
        </w:rPr>
        <w:t>2022</w:t>
      </w:r>
      <w:r>
        <w:rPr>
          <w:rFonts w:ascii="仿宋_GB2312" w:eastAsia="仿宋_GB2312" w:hAnsi="宋体" w:hint="eastAsia"/>
          <w:sz w:val="28"/>
          <w:szCs w:val="28"/>
        </w:rPr>
        <w:t xml:space="preserve">  </w:t>
      </w:r>
      <w:r>
        <w:rPr>
          <w:rFonts w:ascii="仿宋_GB2312" w:eastAsia="仿宋_GB2312" w:hAnsi="宋体" w:hint="eastAsia"/>
          <w:sz w:val="28"/>
          <w:szCs w:val="28"/>
        </w:rPr>
        <w:t>年度）</w:t>
      </w:r>
    </w:p>
    <w:p w:rsidR="00DA4A2F" w:rsidRDefault="00DA4A2F">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093"/>
        <w:gridCol w:w="1166"/>
        <w:gridCol w:w="848"/>
        <w:gridCol w:w="279"/>
        <w:gridCol w:w="284"/>
        <w:gridCol w:w="420"/>
        <w:gridCol w:w="322"/>
        <w:gridCol w:w="524"/>
        <w:gridCol w:w="710"/>
      </w:tblGrid>
      <w:tr w:rsidR="00DA4A2F">
        <w:trPr>
          <w:trHeight w:hRule="exact" w:val="560"/>
          <w:jc w:val="center"/>
        </w:trPr>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项目名称</w:t>
            </w:r>
          </w:p>
        </w:tc>
        <w:tc>
          <w:tcPr>
            <w:tcW w:w="7478" w:type="dxa"/>
            <w:gridSpan w:val="11"/>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sidRPr="00965041">
              <w:rPr>
                <w:rFonts w:ascii="仿宋_GB2312" w:eastAsia="仿宋_GB2312" w:hAnsi="宋体" w:hint="eastAsia"/>
                <w:kern w:val="0"/>
                <w:szCs w:val="21"/>
              </w:rPr>
              <w:t>11000022T000000447676-创新培育战略所科技智库知识产权服务保障北京国际科技创新中心建设的机制研究</w:t>
            </w:r>
            <w:bookmarkStart w:id="0" w:name="_GoBack"/>
            <w:bookmarkEnd w:id="0"/>
          </w:p>
        </w:tc>
      </w:tr>
      <w:tr w:rsidR="00DA4A2F">
        <w:trPr>
          <w:trHeight w:hRule="exact" w:val="306"/>
          <w:jc w:val="center"/>
        </w:trPr>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主管部门</w:t>
            </w:r>
          </w:p>
        </w:tc>
        <w:tc>
          <w:tcPr>
            <w:tcW w:w="4091" w:type="dxa"/>
            <w:gridSpan w:val="4"/>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北京市科学技术研究院</w:t>
            </w:r>
          </w:p>
        </w:tc>
        <w:tc>
          <w:tcPr>
            <w:tcW w:w="1127"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实施单位</w:t>
            </w:r>
          </w:p>
        </w:tc>
        <w:tc>
          <w:tcPr>
            <w:tcW w:w="2260" w:type="dxa"/>
            <w:gridSpan w:val="5"/>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创新发展战略研究所</w:t>
            </w:r>
          </w:p>
        </w:tc>
      </w:tr>
      <w:tr w:rsidR="00DA4A2F">
        <w:trPr>
          <w:trHeight w:hRule="exact" w:val="306"/>
          <w:jc w:val="center"/>
        </w:trPr>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项目负责人</w:t>
            </w:r>
          </w:p>
        </w:tc>
        <w:tc>
          <w:tcPr>
            <w:tcW w:w="4091" w:type="dxa"/>
            <w:gridSpan w:val="4"/>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刘彦蕊</w:t>
            </w:r>
          </w:p>
        </w:tc>
        <w:tc>
          <w:tcPr>
            <w:tcW w:w="1127"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联系电话</w:t>
            </w:r>
          </w:p>
        </w:tc>
        <w:tc>
          <w:tcPr>
            <w:tcW w:w="2260" w:type="dxa"/>
            <w:gridSpan w:val="5"/>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13683196101</w:t>
            </w:r>
          </w:p>
        </w:tc>
      </w:tr>
      <w:tr w:rsidR="00DA4A2F">
        <w:trPr>
          <w:trHeight w:hRule="exact" w:val="567"/>
          <w:jc w:val="center"/>
        </w:trPr>
        <w:tc>
          <w:tcPr>
            <w:tcW w:w="1560" w:type="dxa"/>
            <w:gridSpan w:val="2"/>
            <w:vMerge w:val="restart"/>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项目资金</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（万元）</w:t>
            </w:r>
          </w:p>
        </w:tc>
        <w:tc>
          <w:tcPr>
            <w:tcW w:w="1832"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093"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年初预</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算数</w:t>
            </w:r>
          </w:p>
        </w:tc>
        <w:tc>
          <w:tcPr>
            <w:tcW w:w="1166"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全年预</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算数</w:t>
            </w:r>
          </w:p>
        </w:tc>
        <w:tc>
          <w:tcPr>
            <w:tcW w:w="1127"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全年</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执行数</w:t>
            </w:r>
          </w:p>
        </w:tc>
        <w:tc>
          <w:tcPr>
            <w:tcW w:w="704"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分值</w:t>
            </w:r>
          </w:p>
        </w:tc>
        <w:tc>
          <w:tcPr>
            <w:tcW w:w="846"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执行率</w:t>
            </w:r>
          </w:p>
        </w:tc>
        <w:tc>
          <w:tcPr>
            <w:tcW w:w="710"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得分</w:t>
            </w:r>
          </w:p>
        </w:tc>
      </w:tr>
      <w:tr w:rsidR="00DA4A2F">
        <w:trPr>
          <w:trHeight w:hRule="exact" w:val="306"/>
          <w:jc w:val="center"/>
        </w:trPr>
        <w:tc>
          <w:tcPr>
            <w:tcW w:w="1560" w:type="dxa"/>
            <w:gridSpan w:val="2"/>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83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rPr>
                <w:rFonts w:ascii="仿宋_GB2312" w:eastAsia="仿宋_GB2312" w:hAnsi="宋体"/>
                <w:kern w:val="0"/>
                <w:szCs w:val="21"/>
              </w:rPr>
            </w:pPr>
            <w:r>
              <w:rPr>
                <w:rFonts w:ascii="仿宋_GB2312" w:eastAsia="仿宋_GB2312" w:hAnsi="宋体" w:hint="eastAsia"/>
                <w:kern w:val="0"/>
                <w:szCs w:val="21"/>
              </w:rPr>
              <w:t>年度资金总额</w:t>
            </w:r>
          </w:p>
        </w:tc>
        <w:tc>
          <w:tcPr>
            <w:tcW w:w="1093"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8</w:t>
            </w:r>
            <w:r>
              <w:rPr>
                <w:rFonts w:ascii="仿宋_GB2312" w:eastAsia="仿宋_GB2312" w:hAnsi="宋体" w:hint="eastAsia"/>
              </w:rPr>
              <w:t>万元</w:t>
            </w:r>
          </w:p>
        </w:tc>
        <w:tc>
          <w:tcPr>
            <w:tcW w:w="1166"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8</w:t>
            </w:r>
            <w:r>
              <w:rPr>
                <w:rFonts w:ascii="仿宋_GB2312" w:eastAsia="仿宋_GB2312" w:hAnsi="宋体" w:hint="eastAsia"/>
              </w:rPr>
              <w:t>万元</w:t>
            </w:r>
          </w:p>
        </w:tc>
        <w:tc>
          <w:tcPr>
            <w:tcW w:w="1127"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kern w:val="0"/>
                <w:szCs w:val="21"/>
              </w:rPr>
            </w:pPr>
            <w:r>
              <w:rPr>
                <w:rFonts w:ascii="仿宋_GB2312" w:eastAsia="仿宋_GB2312" w:hAnsi="宋体" w:hint="eastAsia"/>
              </w:rPr>
              <w:t>7.75</w:t>
            </w:r>
            <w:r>
              <w:rPr>
                <w:rFonts w:ascii="仿宋_GB2312" w:eastAsia="仿宋_GB2312" w:hAnsi="宋体" w:hint="eastAsia"/>
              </w:rPr>
              <w:t>万元</w:t>
            </w:r>
          </w:p>
        </w:tc>
        <w:tc>
          <w:tcPr>
            <w:tcW w:w="704"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10</w:t>
            </w:r>
          </w:p>
        </w:tc>
        <w:tc>
          <w:tcPr>
            <w:tcW w:w="846"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96.88%</w:t>
            </w:r>
          </w:p>
        </w:tc>
        <w:tc>
          <w:tcPr>
            <w:tcW w:w="710"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9.68</w:t>
            </w:r>
          </w:p>
        </w:tc>
      </w:tr>
      <w:tr w:rsidR="00DA4A2F">
        <w:trPr>
          <w:trHeight w:hRule="exact" w:val="601"/>
          <w:jc w:val="center"/>
        </w:trPr>
        <w:tc>
          <w:tcPr>
            <w:tcW w:w="1560" w:type="dxa"/>
            <w:gridSpan w:val="2"/>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83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其中：当年财政</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拨款</w:t>
            </w:r>
          </w:p>
        </w:tc>
        <w:tc>
          <w:tcPr>
            <w:tcW w:w="1093"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8</w:t>
            </w:r>
            <w:r>
              <w:rPr>
                <w:rFonts w:ascii="仿宋_GB2312" w:eastAsia="仿宋_GB2312" w:hAnsi="宋体" w:hint="eastAsia"/>
                <w:kern w:val="0"/>
                <w:szCs w:val="21"/>
              </w:rPr>
              <w:t>万元</w:t>
            </w:r>
          </w:p>
        </w:tc>
        <w:tc>
          <w:tcPr>
            <w:tcW w:w="1166"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8</w:t>
            </w:r>
            <w:r>
              <w:rPr>
                <w:rFonts w:ascii="仿宋_GB2312" w:eastAsia="仿宋_GB2312" w:hAnsi="宋体" w:hint="eastAsia"/>
                <w:kern w:val="0"/>
                <w:szCs w:val="21"/>
              </w:rPr>
              <w:t>万元</w:t>
            </w:r>
          </w:p>
        </w:tc>
        <w:tc>
          <w:tcPr>
            <w:tcW w:w="1127"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7.75</w:t>
            </w:r>
            <w:r>
              <w:rPr>
                <w:rFonts w:ascii="仿宋_GB2312" w:eastAsia="仿宋_GB2312" w:hAnsi="宋体" w:hint="eastAsia"/>
                <w:kern w:val="0"/>
                <w:szCs w:val="21"/>
              </w:rPr>
              <w:t>万元</w:t>
            </w:r>
          </w:p>
        </w:tc>
        <w:tc>
          <w:tcPr>
            <w:tcW w:w="704"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p>
        </w:tc>
        <w:tc>
          <w:tcPr>
            <w:tcW w:w="846"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96.88%</w:t>
            </w:r>
          </w:p>
        </w:tc>
        <w:tc>
          <w:tcPr>
            <w:tcW w:w="710"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p>
        </w:tc>
      </w:tr>
      <w:tr w:rsidR="00DA4A2F">
        <w:trPr>
          <w:trHeight w:hRule="exact" w:val="567"/>
          <w:jc w:val="center"/>
        </w:trPr>
        <w:tc>
          <w:tcPr>
            <w:tcW w:w="1560" w:type="dxa"/>
            <w:gridSpan w:val="2"/>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83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 xml:space="preserve">      </w:t>
            </w:r>
            <w:r>
              <w:rPr>
                <w:rFonts w:ascii="仿宋_GB2312" w:eastAsia="仿宋_GB2312" w:hAnsi="宋体" w:hint="eastAsia"/>
                <w:kern w:val="0"/>
                <w:szCs w:val="21"/>
              </w:rPr>
              <w:t>上年结转资金</w:t>
            </w:r>
          </w:p>
        </w:tc>
        <w:tc>
          <w:tcPr>
            <w:tcW w:w="1093"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1166"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1127"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704"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p>
        </w:tc>
        <w:tc>
          <w:tcPr>
            <w:tcW w:w="846"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710"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p>
        </w:tc>
      </w:tr>
      <w:tr w:rsidR="00DA4A2F">
        <w:trPr>
          <w:trHeight w:hRule="exact" w:val="306"/>
          <w:jc w:val="center"/>
        </w:trPr>
        <w:tc>
          <w:tcPr>
            <w:tcW w:w="1560" w:type="dxa"/>
            <w:gridSpan w:val="2"/>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83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 xml:space="preserve">  </w:t>
            </w:r>
            <w:r>
              <w:rPr>
                <w:rFonts w:ascii="仿宋_GB2312" w:eastAsia="仿宋_GB2312" w:hAnsi="宋体" w:hint="eastAsia"/>
                <w:kern w:val="0"/>
                <w:szCs w:val="21"/>
              </w:rPr>
              <w:t>其他资金</w:t>
            </w:r>
          </w:p>
        </w:tc>
        <w:tc>
          <w:tcPr>
            <w:tcW w:w="1093"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1166"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1127"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704" w:type="dxa"/>
            <w:gridSpan w:val="2"/>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p>
        </w:tc>
        <w:tc>
          <w:tcPr>
            <w:tcW w:w="846"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rPr>
              <w:t>—</w:t>
            </w:r>
          </w:p>
        </w:tc>
        <w:tc>
          <w:tcPr>
            <w:tcW w:w="710" w:type="dxa"/>
            <w:tcBorders>
              <w:top w:val="nil"/>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p>
        </w:tc>
      </w:tr>
      <w:tr w:rsidR="00DA4A2F">
        <w:trPr>
          <w:trHeight w:hRule="exact" w:val="548"/>
          <w:jc w:val="center"/>
        </w:trPr>
        <w:tc>
          <w:tcPr>
            <w:tcW w:w="585" w:type="dxa"/>
            <w:vMerge w:val="restart"/>
            <w:tcBorders>
              <w:top w:val="nil"/>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年度总体目标</w:t>
            </w:r>
          </w:p>
        </w:tc>
        <w:tc>
          <w:tcPr>
            <w:tcW w:w="5066" w:type="dxa"/>
            <w:gridSpan w:val="5"/>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预期目标</w:t>
            </w:r>
          </w:p>
        </w:tc>
        <w:tc>
          <w:tcPr>
            <w:tcW w:w="3387" w:type="dxa"/>
            <w:gridSpan w:val="7"/>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实际完成情况</w:t>
            </w:r>
          </w:p>
        </w:tc>
      </w:tr>
      <w:tr w:rsidR="00DA4A2F">
        <w:trPr>
          <w:trHeight w:hRule="exact" w:val="1423"/>
          <w:jc w:val="center"/>
        </w:trPr>
        <w:tc>
          <w:tcPr>
            <w:tcW w:w="585" w:type="dxa"/>
            <w:vMerge/>
            <w:tcBorders>
              <w:top w:val="nil"/>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5066" w:type="dxa"/>
            <w:gridSpan w:val="5"/>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研究提出北京国际科技创新中心知识产权服务保障建设目标和政策保障，形成研究与</w:t>
            </w:r>
            <w:proofErr w:type="gramStart"/>
            <w:r>
              <w:rPr>
                <w:rFonts w:ascii="仿宋_GB2312" w:eastAsia="仿宋_GB2312" w:hAnsi="宋体" w:hint="eastAsia"/>
                <w:kern w:val="0"/>
                <w:szCs w:val="21"/>
              </w:rPr>
              <w:t>应用总</w:t>
            </w:r>
            <w:proofErr w:type="gramEnd"/>
            <w:r>
              <w:rPr>
                <w:rFonts w:ascii="仿宋_GB2312" w:eastAsia="仿宋_GB2312" w:hAnsi="宋体" w:hint="eastAsia"/>
                <w:kern w:val="0"/>
                <w:szCs w:val="21"/>
              </w:rPr>
              <w:t>报告一份。同时研究起草关于国内外国际科技创新中心知识产权服务保障机制典型经验调研报告（建议稿）一份，并形成相关省部级以上竞争性科研项目申请书一份。</w:t>
            </w:r>
          </w:p>
        </w:tc>
        <w:tc>
          <w:tcPr>
            <w:tcW w:w="3387" w:type="dxa"/>
            <w:gridSpan w:val="7"/>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全部完成</w:t>
            </w:r>
          </w:p>
        </w:tc>
      </w:tr>
      <w:tr w:rsidR="00DA4A2F">
        <w:trPr>
          <w:trHeight w:hRule="exact" w:val="1030"/>
          <w:jc w:val="center"/>
        </w:trPr>
        <w:tc>
          <w:tcPr>
            <w:tcW w:w="585" w:type="dxa"/>
            <w:vMerge w:val="restart"/>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proofErr w:type="gramStart"/>
            <w:r>
              <w:rPr>
                <w:rFonts w:ascii="仿宋_GB2312" w:eastAsia="仿宋_GB2312" w:hAnsi="宋体" w:hint="eastAsia"/>
                <w:kern w:val="0"/>
                <w:szCs w:val="21"/>
              </w:rPr>
              <w:t>绩</w:t>
            </w:r>
            <w:proofErr w:type="gramEnd"/>
          </w:p>
          <w:p w:rsidR="00DA4A2F" w:rsidRDefault="00965041">
            <w:pPr>
              <w:widowControl/>
              <w:spacing w:line="240" w:lineRule="exact"/>
              <w:jc w:val="center"/>
              <w:rPr>
                <w:rFonts w:ascii="仿宋_GB2312" w:eastAsia="仿宋_GB2312" w:hAnsi="宋体"/>
                <w:kern w:val="0"/>
                <w:szCs w:val="21"/>
              </w:rPr>
            </w:pPr>
            <w:proofErr w:type="gramStart"/>
            <w:r>
              <w:rPr>
                <w:rFonts w:ascii="仿宋_GB2312" w:eastAsia="仿宋_GB2312" w:hAnsi="宋体" w:hint="eastAsia"/>
                <w:kern w:val="0"/>
                <w:szCs w:val="21"/>
              </w:rPr>
              <w:t>效</w:t>
            </w:r>
            <w:proofErr w:type="gramEnd"/>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指</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标</w:t>
            </w:r>
          </w:p>
        </w:tc>
        <w:tc>
          <w:tcPr>
            <w:tcW w:w="975"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一级指标</w:t>
            </w:r>
          </w:p>
        </w:tc>
        <w:tc>
          <w:tcPr>
            <w:tcW w:w="1105"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二级指标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三级指标</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年度</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指标值</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实际</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完成值</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分值</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得分</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偏差原因分析及改进</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措施</w:t>
            </w:r>
          </w:p>
        </w:tc>
      </w:tr>
      <w:tr w:rsidR="00DA4A2F">
        <w:trPr>
          <w:trHeight w:hRule="exact" w:val="511"/>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val="restart"/>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产出指标</w:t>
            </w:r>
          </w:p>
        </w:tc>
        <w:tc>
          <w:tcPr>
            <w:tcW w:w="1105" w:type="dxa"/>
            <w:vMerge w:val="restart"/>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数量指标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r>
              <w:rPr>
                <w:rFonts w:ascii="仿宋_GB2312" w:eastAsia="仿宋_GB2312" w:hAnsi="宋体" w:hint="eastAsia"/>
                <w:color w:val="000000"/>
                <w:kern w:val="0"/>
                <w:szCs w:val="21"/>
              </w:rPr>
              <w:t>研究报告</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一部</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一部</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15</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354"/>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2</w:t>
            </w:r>
            <w:r>
              <w:rPr>
                <w:rFonts w:ascii="仿宋_GB2312" w:eastAsia="仿宋_GB2312" w:hAnsi="宋体" w:hint="eastAsia"/>
                <w:color w:val="000000"/>
                <w:kern w:val="0"/>
                <w:szCs w:val="21"/>
              </w:rPr>
              <w:t>：</w:t>
            </w:r>
            <w:r>
              <w:rPr>
                <w:rFonts w:ascii="仿宋_GB2312" w:eastAsia="仿宋_GB2312" w:hAnsi="宋体" w:hint="eastAsia"/>
                <w:color w:val="000000"/>
                <w:kern w:val="0"/>
                <w:szCs w:val="21"/>
              </w:rPr>
              <w:t>调研报告</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一篇</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一篇</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15</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539"/>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vMerge w:val="restart"/>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质量指标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r>
              <w:rPr>
                <w:rFonts w:ascii="仿宋_GB2312" w:eastAsia="仿宋_GB2312" w:hAnsi="宋体" w:hint="eastAsia"/>
                <w:color w:val="000000"/>
                <w:kern w:val="0"/>
                <w:szCs w:val="21"/>
              </w:rPr>
              <w:t>研究报告</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r>
              <w:rPr>
                <w:rFonts w:ascii="仿宋_GB2312" w:eastAsia="仿宋_GB2312" w:hAnsi="宋体" w:hint="eastAsia"/>
                <w:kern w:val="0"/>
                <w:szCs w:val="21"/>
              </w:rPr>
              <w:t>3</w:t>
            </w:r>
            <w:r>
              <w:rPr>
                <w:rFonts w:ascii="仿宋_GB2312" w:eastAsia="仿宋_GB2312" w:hAnsi="宋体" w:hint="eastAsia"/>
                <w:kern w:val="0"/>
                <w:szCs w:val="21"/>
              </w:rPr>
              <w:t>万字</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7.37</w:t>
            </w:r>
            <w:r>
              <w:rPr>
                <w:rFonts w:ascii="仿宋_GB2312" w:eastAsia="仿宋_GB2312" w:hAnsi="宋体" w:hint="eastAsia"/>
                <w:kern w:val="0"/>
                <w:szCs w:val="21"/>
              </w:rPr>
              <w:t>万字</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15</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532"/>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2</w:t>
            </w:r>
            <w:r>
              <w:rPr>
                <w:rFonts w:ascii="仿宋_GB2312" w:eastAsia="仿宋_GB2312" w:hAnsi="宋体" w:hint="eastAsia"/>
                <w:color w:val="000000"/>
                <w:kern w:val="0"/>
                <w:szCs w:val="21"/>
              </w:rPr>
              <w:t>：</w:t>
            </w:r>
            <w:r>
              <w:rPr>
                <w:rFonts w:ascii="仿宋_GB2312" w:eastAsia="仿宋_GB2312" w:hAnsi="宋体" w:hint="eastAsia"/>
                <w:color w:val="000000"/>
                <w:kern w:val="0"/>
                <w:szCs w:val="21"/>
              </w:rPr>
              <w:t>调研报告</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r>
              <w:rPr>
                <w:rFonts w:ascii="仿宋_GB2312" w:eastAsia="仿宋_GB2312" w:hAnsi="宋体" w:hint="eastAsia"/>
                <w:kern w:val="0"/>
                <w:szCs w:val="21"/>
              </w:rPr>
              <w:t>3000</w:t>
            </w:r>
            <w:r>
              <w:rPr>
                <w:rFonts w:ascii="仿宋_GB2312" w:eastAsia="仿宋_GB2312" w:hAnsi="宋体" w:hint="eastAsia"/>
                <w:kern w:val="0"/>
                <w:szCs w:val="21"/>
              </w:rPr>
              <w:t>字</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5983</w:t>
            </w:r>
            <w:r>
              <w:rPr>
                <w:rFonts w:ascii="仿宋_GB2312" w:eastAsia="仿宋_GB2312" w:hAnsi="宋体" w:hint="eastAsia"/>
                <w:kern w:val="0"/>
                <w:szCs w:val="21"/>
              </w:rPr>
              <w:t>字</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10</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10</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528"/>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时效指标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2022</w:t>
            </w:r>
            <w:r>
              <w:rPr>
                <w:rFonts w:ascii="仿宋_GB2312" w:eastAsia="仿宋_GB2312" w:hAnsi="宋体" w:hint="eastAsia"/>
                <w:kern w:val="0"/>
                <w:szCs w:val="21"/>
              </w:rPr>
              <w:t>年底完成</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如期完成</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724"/>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成本指标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w:t>
            </w:r>
            <w:r>
              <w:rPr>
                <w:rFonts w:ascii="仿宋_GB2312" w:eastAsia="仿宋_GB2312" w:hAnsi="宋体" w:hint="eastAsia"/>
                <w:kern w:val="0"/>
                <w:szCs w:val="21"/>
              </w:rPr>
              <w:t>8</w:t>
            </w:r>
            <w:r>
              <w:rPr>
                <w:rFonts w:ascii="仿宋_GB2312" w:eastAsia="仿宋_GB2312" w:hAnsi="宋体" w:hint="eastAsia"/>
                <w:kern w:val="0"/>
                <w:szCs w:val="21"/>
              </w:rPr>
              <w:t>万元</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=7.75</w:t>
            </w:r>
            <w:r>
              <w:rPr>
                <w:rFonts w:ascii="仿宋_GB2312" w:eastAsia="仿宋_GB2312" w:hAnsi="宋体" w:hint="eastAsia"/>
                <w:kern w:val="0"/>
                <w:szCs w:val="21"/>
              </w:rPr>
              <w:t>万元</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2533"/>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val="restart"/>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效益指标</w:t>
            </w:r>
          </w:p>
        </w:tc>
        <w:tc>
          <w:tcPr>
            <w:tcW w:w="110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经济效益</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不少于三个维度知识产权一站式服务平台目标构建</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提出构建包括申请、管理、转让、诉讼等服务内容的平台构建方案</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1317"/>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社会效益</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不少于</w:t>
            </w:r>
            <w:r>
              <w:rPr>
                <w:rFonts w:ascii="仿宋_GB2312" w:eastAsia="仿宋_GB2312" w:hAnsi="宋体" w:hint="eastAsia"/>
                <w:kern w:val="0"/>
                <w:szCs w:val="21"/>
              </w:rPr>
              <w:t>4</w:t>
            </w:r>
            <w:r>
              <w:rPr>
                <w:rFonts w:ascii="仿宋_GB2312" w:eastAsia="仿宋_GB2312" w:hAnsi="宋体" w:hint="eastAsia"/>
                <w:kern w:val="0"/>
                <w:szCs w:val="21"/>
              </w:rPr>
              <w:t>方面的相关政策建议</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提出战略方向选择</w:t>
            </w:r>
            <w:r>
              <w:rPr>
                <w:rFonts w:ascii="仿宋_GB2312" w:eastAsia="仿宋_GB2312" w:hAnsi="宋体" w:hint="eastAsia"/>
                <w:kern w:val="0"/>
                <w:szCs w:val="21"/>
              </w:rPr>
              <w:t>6</w:t>
            </w:r>
            <w:r>
              <w:rPr>
                <w:rFonts w:ascii="仿宋_GB2312" w:eastAsia="仿宋_GB2312" w:hAnsi="宋体" w:hint="eastAsia"/>
                <w:kern w:val="0"/>
                <w:szCs w:val="21"/>
              </w:rPr>
              <w:t>方面政策建议</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1960"/>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生态效益</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优化并提升北京市知识产权生态环境</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提出了优化和提升北京市知识产权生态的具体方案</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3</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1531"/>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110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可持续影响指标</w:t>
            </w:r>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p>
        </w:tc>
        <w:tc>
          <w:tcPr>
            <w:tcW w:w="1166"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申报一项省部级及以上项目</w:t>
            </w:r>
          </w:p>
        </w:tc>
        <w:tc>
          <w:tcPr>
            <w:tcW w:w="848" w:type="dxa"/>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申请院</w:t>
            </w:r>
            <w:r>
              <w:rPr>
                <w:rFonts w:ascii="仿宋_GB2312" w:eastAsia="仿宋_GB2312" w:hAnsi="宋体" w:hint="eastAsia"/>
                <w:kern w:val="0"/>
                <w:szCs w:val="21"/>
              </w:rPr>
              <w:t>2023</w:t>
            </w:r>
            <w:r>
              <w:rPr>
                <w:rFonts w:ascii="仿宋_GB2312" w:eastAsia="仿宋_GB2312" w:hAnsi="宋体" w:hint="eastAsia"/>
                <w:kern w:val="0"/>
                <w:szCs w:val="21"/>
              </w:rPr>
              <w:t>年度</w:t>
            </w:r>
            <w:proofErr w:type="gramStart"/>
            <w:r>
              <w:rPr>
                <w:rFonts w:ascii="仿宋_GB2312" w:eastAsia="仿宋_GB2312" w:hAnsi="宋体" w:hint="eastAsia"/>
                <w:kern w:val="0"/>
                <w:szCs w:val="21"/>
              </w:rPr>
              <w:t>科技智库项目</w:t>
            </w:r>
            <w:proofErr w:type="gramEnd"/>
            <w:r>
              <w:rPr>
                <w:rFonts w:ascii="仿宋_GB2312" w:eastAsia="仿宋_GB2312" w:hAnsi="宋体" w:hint="eastAsia"/>
                <w:kern w:val="0"/>
                <w:szCs w:val="21"/>
              </w:rPr>
              <w:t>一项</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3</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497"/>
          <w:jc w:val="center"/>
        </w:trPr>
        <w:tc>
          <w:tcPr>
            <w:tcW w:w="585" w:type="dxa"/>
            <w:vMerge/>
            <w:tcBorders>
              <w:top w:val="single" w:sz="4" w:space="0" w:color="000000"/>
              <w:left w:val="single" w:sz="4" w:space="0" w:color="000000"/>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97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满意度</w:t>
            </w:r>
          </w:p>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指标</w:t>
            </w:r>
          </w:p>
        </w:tc>
        <w:tc>
          <w:tcPr>
            <w:tcW w:w="1105" w:type="dxa"/>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服务对象</w:t>
            </w:r>
            <w:proofErr w:type="gramStart"/>
            <w:r>
              <w:rPr>
                <w:rFonts w:ascii="仿宋_GB2312" w:eastAsia="仿宋_GB2312" w:hAnsi="宋体" w:hint="eastAsia"/>
                <w:kern w:val="0"/>
                <w:szCs w:val="21"/>
              </w:rPr>
              <w:t>满意度标</w:t>
            </w:r>
            <w:proofErr w:type="gramEnd"/>
          </w:p>
        </w:tc>
        <w:tc>
          <w:tcPr>
            <w:tcW w:w="1820"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left"/>
              <w:rPr>
                <w:rFonts w:ascii="仿宋_GB2312" w:eastAsia="仿宋_GB2312" w:hAnsi="宋体"/>
                <w:color w:val="000000"/>
                <w:kern w:val="0"/>
                <w:szCs w:val="21"/>
              </w:rPr>
            </w:pPr>
            <w:r>
              <w:rPr>
                <w:rFonts w:ascii="仿宋_GB2312" w:eastAsia="仿宋_GB2312" w:hAnsi="宋体" w:hint="eastAsia"/>
                <w:color w:val="000000"/>
                <w:kern w:val="0"/>
                <w:szCs w:val="21"/>
              </w:rPr>
              <w:t>指标</w:t>
            </w:r>
            <w:r>
              <w:rPr>
                <w:rFonts w:ascii="仿宋_GB2312" w:eastAsia="仿宋_GB2312" w:hAnsi="宋体" w:hint="eastAsia"/>
                <w:color w:val="000000"/>
                <w:kern w:val="0"/>
                <w:szCs w:val="21"/>
              </w:rPr>
              <w:t>1</w:t>
            </w:r>
            <w:r>
              <w:rPr>
                <w:rFonts w:ascii="仿宋_GB2312" w:eastAsia="仿宋_GB2312" w:hAnsi="宋体" w:hint="eastAsia"/>
                <w:color w:val="000000"/>
                <w:kern w:val="0"/>
                <w:szCs w:val="21"/>
              </w:rPr>
              <w:t>：</w:t>
            </w:r>
          </w:p>
        </w:tc>
        <w:tc>
          <w:tcPr>
            <w:tcW w:w="1166" w:type="dxa"/>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848" w:type="dxa"/>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5</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kern w:val="0"/>
                <w:szCs w:val="21"/>
              </w:rPr>
            </w:pPr>
            <w:r>
              <w:rPr>
                <w:rFonts w:ascii="仿宋_GB2312" w:eastAsia="仿宋_GB2312" w:hAnsi="宋体" w:hint="eastAsia"/>
                <w:kern w:val="0"/>
                <w:szCs w:val="21"/>
              </w:rPr>
              <w:t>3</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r w:rsidR="00DA4A2F">
        <w:trPr>
          <w:trHeight w:hRule="exact" w:val="477"/>
          <w:jc w:val="center"/>
        </w:trPr>
        <w:tc>
          <w:tcPr>
            <w:tcW w:w="6499" w:type="dxa"/>
            <w:gridSpan w:val="7"/>
            <w:tcBorders>
              <w:top w:val="single" w:sz="4" w:space="0" w:color="000000"/>
              <w:left w:val="single" w:sz="4" w:space="0" w:color="000000"/>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总分</w:t>
            </w:r>
          </w:p>
        </w:tc>
        <w:tc>
          <w:tcPr>
            <w:tcW w:w="563"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100</w:t>
            </w:r>
          </w:p>
        </w:tc>
        <w:tc>
          <w:tcPr>
            <w:tcW w:w="742" w:type="dxa"/>
            <w:gridSpan w:val="2"/>
            <w:tcBorders>
              <w:top w:val="single" w:sz="4" w:space="0" w:color="000000"/>
              <w:left w:val="nil"/>
              <w:bottom w:val="single" w:sz="4" w:space="0" w:color="000000"/>
              <w:right w:val="single" w:sz="4" w:space="0" w:color="000000"/>
            </w:tcBorders>
            <w:vAlign w:val="center"/>
          </w:tcPr>
          <w:p w:rsidR="00DA4A2F" w:rsidRDefault="00965041">
            <w:pPr>
              <w:widowControl/>
              <w:spacing w:line="240" w:lineRule="exact"/>
              <w:jc w:val="center"/>
              <w:rPr>
                <w:rFonts w:ascii="仿宋_GB2312" w:eastAsia="仿宋_GB2312" w:hAnsi="宋体"/>
                <w:color w:val="000000"/>
                <w:kern w:val="0"/>
                <w:szCs w:val="21"/>
              </w:rPr>
            </w:pPr>
            <w:r>
              <w:rPr>
                <w:rFonts w:ascii="仿宋_GB2312" w:eastAsia="仿宋_GB2312" w:hAnsi="宋体" w:hint="eastAsia"/>
                <w:color w:val="000000"/>
                <w:kern w:val="0"/>
                <w:szCs w:val="21"/>
              </w:rPr>
              <w:t>93.68</w:t>
            </w:r>
          </w:p>
        </w:tc>
        <w:tc>
          <w:tcPr>
            <w:tcW w:w="1234" w:type="dxa"/>
            <w:gridSpan w:val="2"/>
            <w:tcBorders>
              <w:top w:val="single" w:sz="4" w:space="0" w:color="000000"/>
              <w:left w:val="nil"/>
              <w:bottom w:val="single" w:sz="4" w:space="0" w:color="000000"/>
              <w:right w:val="single" w:sz="4" w:space="0" w:color="000000"/>
            </w:tcBorders>
            <w:vAlign w:val="center"/>
          </w:tcPr>
          <w:p w:rsidR="00DA4A2F" w:rsidRDefault="00DA4A2F">
            <w:pPr>
              <w:widowControl/>
              <w:spacing w:line="240" w:lineRule="exact"/>
              <w:jc w:val="center"/>
              <w:rPr>
                <w:rFonts w:ascii="仿宋_GB2312" w:eastAsia="仿宋_GB2312" w:hAnsi="宋体"/>
                <w:kern w:val="0"/>
                <w:szCs w:val="21"/>
              </w:rPr>
            </w:pPr>
          </w:p>
        </w:tc>
      </w:tr>
    </w:tbl>
    <w:p w:rsidR="00DA4A2F" w:rsidRDefault="00DA4A2F">
      <w:pPr>
        <w:rPr>
          <w:rFonts w:ascii="仿宋_GB2312" w:eastAsia="仿宋_GB2312"/>
          <w:vanish/>
          <w:sz w:val="32"/>
          <w:szCs w:val="32"/>
        </w:rPr>
      </w:pPr>
    </w:p>
    <w:p w:rsidR="00DA4A2F" w:rsidRDefault="00DA4A2F">
      <w:pPr>
        <w:widowControl/>
        <w:jc w:val="left"/>
        <w:rPr>
          <w:rFonts w:ascii="仿宋_GB2312" w:eastAsia="仿宋_GB2312" w:hAnsi="宋体"/>
          <w:color w:val="000000"/>
          <w:kern w:val="0"/>
          <w:sz w:val="32"/>
          <w:szCs w:val="32"/>
        </w:rPr>
      </w:pPr>
    </w:p>
    <w:p w:rsidR="00DA4A2F" w:rsidRDefault="00965041">
      <w:pPr>
        <w:widowControl/>
        <w:spacing w:line="520" w:lineRule="exact"/>
        <w:jc w:val="left"/>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填报注意事项：</w:t>
      </w:r>
    </w:p>
    <w:p w:rsidR="00DA4A2F" w:rsidRDefault="00965041">
      <w:pPr>
        <w:widowControl/>
        <w:spacing w:line="520" w:lineRule="exact"/>
        <w:ind w:firstLineChars="200" w:firstLine="640"/>
        <w:jc w:val="left"/>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1.</w:t>
      </w:r>
      <w:r>
        <w:rPr>
          <w:rFonts w:ascii="仿宋_GB2312" w:eastAsia="仿宋_GB2312" w:hAnsi="宋体" w:hint="eastAsia"/>
          <w:color w:val="000000"/>
          <w:kern w:val="0"/>
          <w:sz w:val="32"/>
          <w:szCs w:val="32"/>
        </w:rPr>
        <w:t>得分一档最高不能超过该指标分值上限。</w:t>
      </w:r>
    </w:p>
    <w:p w:rsidR="00DA4A2F" w:rsidRDefault="00965041">
      <w:pPr>
        <w:widowControl/>
        <w:spacing w:line="520" w:lineRule="exact"/>
        <w:jc w:val="left"/>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 xml:space="preserve">    2.</w:t>
      </w:r>
      <w:r>
        <w:rPr>
          <w:rFonts w:ascii="仿宋_GB2312" w:eastAsia="仿宋_GB2312" w:hAnsi="宋体" w:hint="eastAsia"/>
          <w:color w:val="000000"/>
          <w:kern w:val="0"/>
          <w:sz w:val="32"/>
          <w:szCs w:val="32"/>
        </w:rPr>
        <w:t>定量指标若为正向指标，则得分计算方法应用全年实际值（</w:t>
      </w:r>
      <w:r>
        <w:rPr>
          <w:rFonts w:ascii="仿宋_GB2312" w:eastAsia="仿宋_GB2312" w:hAnsi="宋体" w:hint="eastAsia"/>
          <w:color w:val="000000"/>
          <w:kern w:val="0"/>
          <w:sz w:val="32"/>
          <w:szCs w:val="32"/>
        </w:rPr>
        <w:t>B</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年度指标值（</w:t>
      </w:r>
      <w:r>
        <w:rPr>
          <w:rFonts w:ascii="仿宋_GB2312" w:eastAsia="仿宋_GB2312" w:hAnsi="宋体" w:hint="eastAsia"/>
          <w:color w:val="000000"/>
          <w:kern w:val="0"/>
          <w:sz w:val="32"/>
          <w:szCs w:val="32"/>
        </w:rPr>
        <w:t>A</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该指标分值；若定量指标为反向指标，则得分计算方法应用年度指标值（</w:t>
      </w:r>
      <w:r>
        <w:rPr>
          <w:rFonts w:ascii="仿宋_GB2312" w:eastAsia="仿宋_GB2312" w:hAnsi="宋体" w:hint="eastAsia"/>
          <w:color w:val="000000"/>
          <w:kern w:val="0"/>
          <w:sz w:val="32"/>
          <w:szCs w:val="32"/>
        </w:rPr>
        <w:t>A</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全年实际值（</w:t>
      </w:r>
      <w:r>
        <w:rPr>
          <w:rFonts w:ascii="仿宋_GB2312" w:eastAsia="仿宋_GB2312" w:hAnsi="宋体" w:hint="eastAsia"/>
          <w:color w:val="000000"/>
          <w:kern w:val="0"/>
          <w:sz w:val="32"/>
          <w:szCs w:val="32"/>
        </w:rPr>
        <w:t>B</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该指标分值。若年初指标值设定偏低，则得分计算方法应用（全年实际值（</w:t>
      </w:r>
      <w:r>
        <w:rPr>
          <w:rFonts w:ascii="仿宋_GB2312" w:eastAsia="仿宋_GB2312" w:hAnsi="宋体" w:hint="eastAsia"/>
          <w:color w:val="000000"/>
          <w:kern w:val="0"/>
          <w:sz w:val="32"/>
          <w:szCs w:val="32"/>
        </w:rPr>
        <w:t>B</w:t>
      </w:r>
      <w:r>
        <w:rPr>
          <w:rFonts w:ascii="仿宋_GB2312" w:eastAsia="仿宋_GB2312" w:hAnsi="宋体" w:hint="eastAsia"/>
          <w:color w:val="000000"/>
          <w:kern w:val="0"/>
          <w:sz w:val="32"/>
          <w:szCs w:val="32"/>
        </w:rPr>
        <w:t>）—年度指标值（</w:t>
      </w:r>
      <w:r>
        <w:rPr>
          <w:rFonts w:ascii="仿宋_GB2312" w:eastAsia="仿宋_GB2312" w:hAnsi="宋体" w:hint="eastAsia"/>
          <w:color w:val="000000"/>
          <w:kern w:val="0"/>
          <w:sz w:val="32"/>
          <w:szCs w:val="32"/>
        </w:rPr>
        <w:t>A</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年度指标值（</w:t>
      </w:r>
      <w:r>
        <w:rPr>
          <w:rFonts w:ascii="仿宋_GB2312" w:eastAsia="仿宋_GB2312" w:hAnsi="宋体" w:hint="eastAsia"/>
          <w:color w:val="000000"/>
          <w:kern w:val="0"/>
          <w:sz w:val="32"/>
          <w:szCs w:val="32"/>
        </w:rPr>
        <w:t>A</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*100%</w:t>
      </w:r>
      <w:r>
        <w:rPr>
          <w:rFonts w:ascii="仿宋_GB2312" w:eastAsia="仿宋_GB2312" w:hAnsi="宋体" w:hint="eastAsia"/>
          <w:color w:val="000000"/>
          <w:kern w:val="0"/>
          <w:sz w:val="32"/>
          <w:szCs w:val="32"/>
        </w:rPr>
        <w:t>。若计算结果在</w:t>
      </w:r>
      <w:r>
        <w:rPr>
          <w:rFonts w:ascii="仿宋_GB2312" w:eastAsia="仿宋_GB2312" w:hAnsi="宋体" w:hint="eastAsia"/>
          <w:color w:val="000000"/>
          <w:kern w:val="0"/>
          <w:sz w:val="32"/>
          <w:szCs w:val="32"/>
        </w:rPr>
        <w:t>200%-300%</w:t>
      </w:r>
      <w:r>
        <w:rPr>
          <w:rFonts w:ascii="仿宋_GB2312" w:eastAsia="仿宋_GB2312" w:hAnsi="宋体" w:hint="eastAsia"/>
          <w:color w:val="000000"/>
          <w:kern w:val="0"/>
          <w:sz w:val="32"/>
          <w:szCs w:val="32"/>
        </w:rPr>
        <w:t>（含</w:t>
      </w:r>
      <w:r>
        <w:rPr>
          <w:rFonts w:ascii="仿宋_GB2312" w:eastAsia="仿宋_GB2312" w:hAnsi="宋体" w:hint="eastAsia"/>
          <w:color w:val="000000"/>
          <w:kern w:val="0"/>
          <w:sz w:val="32"/>
          <w:szCs w:val="32"/>
        </w:rPr>
        <w:t>200%</w:t>
      </w:r>
      <w:r>
        <w:rPr>
          <w:rFonts w:ascii="仿宋_GB2312" w:eastAsia="仿宋_GB2312" w:hAnsi="宋体" w:hint="eastAsia"/>
          <w:color w:val="000000"/>
          <w:kern w:val="0"/>
          <w:sz w:val="32"/>
          <w:szCs w:val="32"/>
        </w:rPr>
        <w:t>）区间，则按照该指标分值的</w:t>
      </w:r>
      <w:r>
        <w:rPr>
          <w:rFonts w:ascii="仿宋_GB2312" w:eastAsia="仿宋_GB2312" w:hAnsi="宋体" w:hint="eastAsia"/>
          <w:color w:val="000000"/>
          <w:kern w:val="0"/>
          <w:sz w:val="32"/>
          <w:szCs w:val="32"/>
        </w:rPr>
        <w:t>10%</w:t>
      </w:r>
      <w:r>
        <w:rPr>
          <w:rFonts w:ascii="仿宋_GB2312" w:eastAsia="仿宋_GB2312" w:hAnsi="宋体" w:hint="eastAsia"/>
          <w:color w:val="000000"/>
          <w:kern w:val="0"/>
          <w:sz w:val="32"/>
          <w:szCs w:val="32"/>
        </w:rPr>
        <w:t>扣分；计算结果在</w:t>
      </w:r>
      <w:r>
        <w:rPr>
          <w:rFonts w:ascii="仿宋_GB2312" w:eastAsia="仿宋_GB2312" w:hAnsi="宋体" w:hint="eastAsia"/>
          <w:color w:val="000000"/>
          <w:kern w:val="0"/>
          <w:sz w:val="32"/>
          <w:szCs w:val="32"/>
        </w:rPr>
        <w:t>300%-500%</w:t>
      </w:r>
      <w:r>
        <w:rPr>
          <w:rFonts w:ascii="仿宋_GB2312" w:eastAsia="仿宋_GB2312" w:hAnsi="宋体" w:hint="eastAsia"/>
          <w:color w:val="000000"/>
          <w:kern w:val="0"/>
          <w:sz w:val="32"/>
          <w:szCs w:val="32"/>
        </w:rPr>
        <w:t>（含</w:t>
      </w:r>
      <w:r>
        <w:rPr>
          <w:rFonts w:ascii="仿宋_GB2312" w:eastAsia="仿宋_GB2312" w:hAnsi="宋体" w:hint="eastAsia"/>
          <w:color w:val="000000"/>
          <w:kern w:val="0"/>
          <w:sz w:val="32"/>
          <w:szCs w:val="32"/>
        </w:rPr>
        <w:t>300%</w:t>
      </w:r>
      <w:r>
        <w:rPr>
          <w:rFonts w:ascii="仿宋_GB2312" w:eastAsia="仿宋_GB2312" w:hAnsi="宋体" w:hint="eastAsia"/>
          <w:color w:val="000000"/>
          <w:kern w:val="0"/>
          <w:sz w:val="32"/>
          <w:szCs w:val="32"/>
        </w:rPr>
        <w:t>）区间，则按照该指标分值的</w:t>
      </w:r>
      <w:r>
        <w:rPr>
          <w:rFonts w:ascii="仿宋_GB2312" w:eastAsia="仿宋_GB2312" w:hAnsi="宋体" w:hint="eastAsia"/>
          <w:color w:val="000000"/>
          <w:kern w:val="0"/>
          <w:sz w:val="32"/>
          <w:szCs w:val="32"/>
        </w:rPr>
        <w:t>20%</w:t>
      </w:r>
      <w:r>
        <w:rPr>
          <w:rFonts w:ascii="仿宋_GB2312" w:eastAsia="仿宋_GB2312" w:hAnsi="宋体" w:hint="eastAsia"/>
          <w:color w:val="000000"/>
          <w:kern w:val="0"/>
          <w:sz w:val="32"/>
          <w:szCs w:val="32"/>
        </w:rPr>
        <w:t>扣分；计算结果高于</w:t>
      </w:r>
      <w:r>
        <w:rPr>
          <w:rFonts w:ascii="仿宋_GB2312" w:eastAsia="仿宋_GB2312" w:hAnsi="宋体" w:hint="eastAsia"/>
          <w:color w:val="000000"/>
          <w:kern w:val="0"/>
          <w:sz w:val="32"/>
          <w:szCs w:val="32"/>
        </w:rPr>
        <w:t>500%</w:t>
      </w:r>
      <w:r>
        <w:rPr>
          <w:rFonts w:ascii="仿宋_GB2312" w:eastAsia="仿宋_GB2312" w:hAnsi="宋体" w:hint="eastAsia"/>
          <w:color w:val="000000"/>
          <w:kern w:val="0"/>
          <w:sz w:val="32"/>
          <w:szCs w:val="32"/>
        </w:rPr>
        <w:t>（含</w:t>
      </w:r>
      <w:r>
        <w:rPr>
          <w:rFonts w:ascii="仿宋_GB2312" w:eastAsia="仿宋_GB2312" w:hAnsi="宋体" w:hint="eastAsia"/>
          <w:color w:val="000000"/>
          <w:kern w:val="0"/>
          <w:sz w:val="32"/>
          <w:szCs w:val="32"/>
        </w:rPr>
        <w:t>500%</w:t>
      </w:r>
      <w:r>
        <w:rPr>
          <w:rFonts w:ascii="仿宋_GB2312" w:eastAsia="仿宋_GB2312" w:hAnsi="宋体" w:hint="eastAsia"/>
          <w:color w:val="000000"/>
          <w:kern w:val="0"/>
          <w:sz w:val="32"/>
          <w:szCs w:val="32"/>
        </w:rPr>
        <w:t>），则按照该指标分值的</w:t>
      </w:r>
      <w:r>
        <w:rPr>
          <w:rFonts w:ascii="仿宋_GB2312" w:eastAsia="仿宋_GB2312" w:hAnsi="宋体" w:hint="eastAsia"/>
          <w:color w:val="000000"/>
          <w:kern w:val="0"/>
          <w:sz w:val="32"/>
          <w:szCs w:val="32"/>
        </w:rPr>
        <w:t>30</w:t>
      </w:r>
      <w:r>
        <w:rPr>
          <w:rFonts w:ascii="仿宋_GB2312" w:eastAsia="仿宋_GB2312" w:hAnsi="宋体" w:hint="eastAsia"/>
          <w:color w:val="000000"/>
          <w:kern w:val="0"/>
          <w:sz w:val="32"/>
          <w:szCs w:val="32"/>
        </w:rPr>
        <w:t>%</w:t>
      </w:r>
      <w:r>
        <w:rPr>
          <w:rFonts w:ascii="仿宋_GB2312" w:eastAsia="仿宋_GB2312" w:hAnsi="宋体" w:hint="eastAsia"/>
          <w:color w:val="000000"/>
          <w:kern w:val="0"/>
          <w:sz w:val="32"/>
          <w:szCs w:val="32"/>
        </w:rPr>
        <w:t>扣分。</w:t>
      </w:r>
    </w:p>
    <w:p w:rsidR="00DA4A2F" w:rsidRDefault="00965041">
      <w:pPr>
        <w:spacing w:line="520" w:lineRule="exact"/>
        <w:ind w:firstLineChars="200" w:firstLine="640"/>
        <w:jc w:val="left"/>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3.</w:t>
      </w:r>
      <w:r>
        <w:rPr>
          <w:rFonts w:ascii="仿宋_GB2312" w:eastAsia="仿宋_GB2312" w:hAnsi="宋体" w:hint="eastAsia"/>
          <w:color w:val="000000"/>
          <w:kern w:val="0"/>
          <w:sz w:val="32"/>
          <w:szCs w:val="32"/>
        </w:rPr>
        <w:t>请在“偏差原因分析及改进措施”中说明偏离目标、</w:t>
      </w:r>
      <w:r>
        <w:rPr>
          <w:rFonts w:ascii="仿宋_GB2312" w:eastAsia="仿宋_GB2312" w:hAnsi="宋体" w:hint="eastAsia"/>
          <w:color w:val="000000"/>
          <w:kern w:val="0"/>
          <w:sz w:val="32"/>
          <w:szCs w:val="32"/>
        </w:rPr>
        <w:lastRenderedPageBreak/>
        <w:t>不能完成目标的原因及拟采取的措施。</w:t>
      </w:r>
    </w:p>
    <w:p w:rsidR="00DA4A2F" w:rsidRDefault="00965041">
      <w:pPr>
        <w:spacing w:line="520" w:lineRule="exact"/>
        <w:ind w:firstLineChars="200" w:firstLine="640"/>
        <w:rPr>
          <w:rFonts w:ascii="仿宋_GB2312" w:eastAsia="仿宋_GB2312" w:hAnsi="宋体"/>
          <w:color w:val="000000"/>
          <w:kern w:val="0"/>
          <w:sz w:val="32"/>
          <w:szCs w:val="32"/>
        </w:rPr>
      </w:pPr>
      <w:r>
        <w:rPr>
          <w:rFonts w:ascii="仿宋_GB2312" w:eastAsia="仿宋_GB2312" w:hAnsi="宋体" w:hint="eastAsia"/>
          <w:color w:val="000000"/>
          <w:kern w:val="0"/>
          <w:sz w:val="32"/>
          <w:szCs w:val="32"/>
        </w:rPr>
        <w:t>4.90</w:t>
      </w:r>
      <w:r>
        <w:rPr>
          <w:rFonts w:ascii="仿宋_GB2312" w:eastAsia="仿宋_GB2312" w:hAnsi="宋体" w:hint="eastAsia"/>
          <w:color w:val="000000"/>
          <w:kern w:val="0"/>
          <w:sz w:val="32"/>
          <w:szCs w:val="32"/>
        </w:rPr>
        <w:t>（含）</w:t>
      </w:r>
      <w:r>
        <w:rPr>
          <w:rFonts w:ascii="仿宋_GB2312" w:eastAsia="仿宋_GB2312" w:hAnsi="宋体" w:hint="eastAsia"/>
          <w:color w:val="000000"/>
          <w:kern w:val="0"/>
          <w:sz w:val="32"/>
          <w:szCs w:val="32"/>
        </w:rPr>
        <w:t>-100</w:t>
      </w:r>
      <w:r>
        <w:rPr>
          <w:rFonts w:ascii="仿宋_GB2312" w:eastAsia="仿宋_GB2312" w:hAnsi="宋体" w:hint="eastAsia"/>
          <w:color w:val="000000"/>
          <w:kern w:val="0"/>
          <w:sz w:val="32"/>
          <w:szCs w:val="32"/>
        </w:rPr>
        <w:t>分为优、</w:t>
      </w:r>
      <w:r>
        <w:rPr>
          <w:rFonts w:ascii="仿宋_GB2312" w:eastAsia="仿宋_GB2312" w:hAnsi="宋体" w:hint="eastAsia"/>
          <w:color w:val="000000"/>
          <w:kern w:val="0"/>
          <w:sz w:val="32"/>
          <w:szCs w:val="32"/>
        </w:rPr>
        <w:t>80</w:t>
      </w:r>
      <w:r>
        <w:rPr>
          <w:rFonts w:ascii="仿宋_GB2312" w:eastAsia="仿宋_GB2312" w:hAnsi="宋体" w:hint="eastAsia"/>
          <w:color w:val="000000"/>
          <w:kern w:val="0"/>
          <w:sz w:val="32"/>
          <w:szCs w:val="32"/>
        </w:rPr>
        <w:t>（含）</w:t>
      </w:r>
      <w:r>
        <w:rPr>
          <w:rFonts w:ascii="仿宋_GB2312" w:eastAsia="仿宋_GB2312" w:hAnsi="宋体" w:hint="eastAsia"/>
          <w:color w:val="000000"/>
          <w:kern w:val="0"/>
          <w:sz w:val="32"/>
          <w:szCs w:val="32"/>
        </w:rPr>
        <w:t>-90</w:t>
      </w:r>
      <w:r>
        <w:rPr>
          <w:rFonts w:ascii="仿宋_GB2312" w:eastAsia="仿宋_GB2312" w:hAnsi="宋体" w:hint="eastAsia"/>
          <w:color w:val="000000"/>
          <w:kern w:val="0"/>
          <w:sz w:val="32"/>
          <w:szCs w:val="32"/>
        </w:rPr>
        <w:t>分为良、</w:t>
      </w:r>
      <w:r>
        <w:rPr>
          <w:rFonts w:ascii="仿宋_GB2312" w:eastAsia="仿宋_GB2312" w:hAnsi="宋体" w:hint="eastAsia"/>
          <w:color w:val="000000"/>
          <w:kern w:val="0"/>
          <w:sz w:val="32"/>
          <w:szCs w:val="32"/>
        </w:rPr>
        <w:t>60</w:t>
      </w:r>
      <w:r>
        <w:rPr>
          <w:rFonts w:ascii="仿宋_GB2312" w:eastAsia="仿宋_GB2312" w:hAnsi="宋体" w:hint="eastAsia"/>
          <w:color w:val="000000"/>
          <w:kern w:val="0"/>
          <w:sz w:val="32"/>
          <w:szCs w:val="32"/>
        </w:rPr>
        <w:t>（含）</w:t>
      </w:r>
      <w:r>
        <w:rPr>
          <w:rFonts w:ascii="仿宋_GB2312" w:eastAsia="仿宋_GB2312" w:hAnsi="宋体" w:hint="eastAsia"/>
          <w:color w:val="000000"/>
          <w:kern w:val="0"/>
          <w:sz w:val="32"/>
          <w:szCs w:val="32"/>
        </w:rPr>
        <w:t>-80</w:t>
      </w:r>
      <w:r>
        <w:rPr>
          <w:rFonts w:ascii="仿宋_GB2312" w:eastAsia="仿宋_GB2312" w:hAnsi="宋体" w:hint="eastAsia"/>
          <w:color w:val="000000"/>
          <w:kern w:val="0"/>
          <w:sz w:val="32"/>
          <w:szCs w:val="32"/>
        </w:rPr>
        <w:t>分为中、</w:t>
      </w:r>
      <w:r>
        <w:rPr>
          <w:rFonts w:ascii="仿宋_GB2312" w:eastAsia="仿宋_GB2312" w:hAnsi="宋体" w:hint="eastAsia"/>
          <w:color w:val="000000"/>
          <w:kern w:val="0"/>
          <w:sz w:val="32"/>
          <w:szCs w:val="32"/>
        </w:rPr>
        <w:t>60</w:t>
      </w:r>
      <w:r>
        <w:rPr>
          <w:rFonts w:ascii="仿宋_GB2312" w:eastAsia="仿宋_GB2312" w:hAnsi="宋体" w:hint="eastAsia"/>
          <w:color w:val="000000"/>
          <w:kern w:val="0"/>
          <w:sz w:val="32"/>
          <w:szCs w:val="32"/>
        </w:rPr>
        <w:t>分以下为差。</w:t>
      </w:r>
    </w:p>
    <w:sectPr w:rsidR="00DA4A2F">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isplayHorizontalDrawingGridEvery w:val="0"/>
  <w:displayVerticalDrawingGridEvery w:val="2"/>
  <w:characterSpacingControl w:val="doNotCompress"/>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2MjY2YTVhMDM2ZGRlZGY2MTg2YzYzNWVmZmExOTMifQ=="/>
  </w:docVars>
  <w:rsids>
    <w:rsidRoot w:val="00DA4A2F"/>
    <w:rsid w:val="00965041"/>
    <w:rsid w:val="00DA4A2F"/>
    <w:rsid w:val="01030E91"/>
    <w:rsid w:val="0BD04822"/>
    <w:rsid w:val="136E547F"/>
    <w:rsid w:val="15451DDD"/>
    <w:rsid w:val="17365E81"/>
    <w:rsid w:val="1B0342CC"/>
    <w:rsid w:val="1FCB1131"/>
    <w:rsid w:val="21222FD3"/>
    <w:rsid w:val="274912B9"/>
    <w:rsid w:val="287A1946"/>
    <w:rsid w:val="298F1421"/>
    <w:rsid w:val="382A0C93"/>
    <w:rsid w:val="38B36EDA"/>
    <w:rsid w:val="3C4D4F50"/>
    <w:rsid w:val="45C83899"/>
    <w:rsid w:val="46C01A44"/>
    <w:rsid w:val="4723203B"/>
    <w:rsid w:val="4A1A10E3"/>
    <w:rsid w:val="4EF233C6"/>
    <w:rsid w:val="52A323FF"/>
    <w:rsid w:val="55AE2AAB"/>
    <w:rsid w:val="577A526F"/>
    <w:rsid w:val="5B9C33A6"/>
    <w:rsid w:val="5CB0535B"/>
    <w:rsid w:val="5D9E1657"/>
    <w:rsid w:val="5ED846F5"/>
    <w:rsid w:val="67000C8D"/>
    <w:rsid w:val="681A3FD0"/>
    <w:rsid w:val="6D9739CD"/>
    <w:rsid w:val="704F058F"/>
    <w:rsid w:val="72CC558F"/>
    <w:rsid w:val="731A4E85"/>
    <w:rsid w:val="79982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568EB-C41D-4C04-B3C4-F7E3A4EA2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默认段落字体1"/>
    <w:qFormat/>
  </w:style>
  <w:style w:type="table" w:customStyle="1" w:styleId="10">
    <w:name w:val="普通表格1"/>
    <w:qFormat/>
    <w:tblPr>
      <w:tblCellMar>
        <w:top w:w="0" w:type="dxa"/>
        <w:left w:w="0" w:type="dxa"/>
        <w:bottom w:w="0" w:type="dxa"/>
        <w:right w:w="0" w:type="dxa"/>
      </w:tblCellMar>
    </w:tblPr>
  </w:style>
  <w:style w:type="paragraph" w:customStyle="1" w:styleId="11">
    <w:name w:val="页脚1"/>
    <w:basedOn w:val="a"/>
    <w:link w:val="Char"/>
    <w:qFormat/>
    <w:pPr>
      <w:tabs>
        <w:tab w:val="center" w:pos="4153"/>
        <w:tab w:val="right" w:pos="8306"/>
      </w:tabs>
      <w:snapToGrid w:val="0"/>
      <w:jc w:val="left"/>
    </w:pPr>
    <w:rPr>
      <w:sz w:val="18"/>
      <w:szCs w:val="18"/>
    </w:rPr>
  </w:style>
  <w:style w:type="character" w:customStyle="1" w:styleId="Char">
    <w:name w:val="页脚 Char"/>
    <w:basedOn w:val="1"/>
    <w:link w:val="11"/>
    <w:semiHidden/>
    <w:qFormat/>
    <w:rPr>
      <w:sz w:val="18"/>
      <w:szCs w:val="18"/>
    </w:rPr>
  </w:style>
  <w:style w:type="paragraph" w:customStyle="1" w:styleId="12">
    <w:name w:val="页眉1"/>
    <w:basedOn w:val="a"/>
    <w:link w:val="Char0"/>
    <w:qFormat/>
    <w:pPr>
      <w:pBdr>
        <w:bottom w:val="single" w:sz="6" w:space="1" w:color="000000"/>
      </w:pBdr>
      <w:tabs>
        <w:tab w:val="center" w:pos="4153"/>
        <w:tab w:val="right" w:pos="8306"/>
      </w:tabs>
      <w:snapToGrid w:val="0"/>
      <w:jc w:val="center"/>
    </w:pPr>
    <w:rPr>
      <w:sz w:val="18"/>
      <w:szCs w:val="18"/>
    </w:rPr>
  </w:style>
  <w:style w:type="character" w:customStyle="1" w:styleId="Char0">
    <w:name w:val="页眉 Char"/>
    <w:basedOn w:val="1"/>
    <w:link w:val="12"/>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212</Words>
  <Characters>1215</Characters>
  <Application>Microsoft Office Word</Application>
  <DocSecurity>0</DocSecurity>
  <Lines>10</Lines>
  <Paragraphs>2</Paragraphs>
  <ScaleCrop>false</ScaleCrop>
  <Company>Lenovo</Company>
  <LinksUpToDate>false</LinksUpToDate>
  <CharactersWithSpaces>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cp:revision>
  <dcterms:created xsi:type="dcterms:W3CDTF">2023-02-24T04:40:00Z</dcterms:created>
  <dcterms:modified xsi:type="dcterms:W3CDTF">2023-02-24T08:05:00Z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59FE01A030EF437A969F7A0837187FDC</vt:lpwstr>
  </property>
</Properties>
</file>